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72</w:t>
      </w:r>
    </w:p>
    <w:p>
      <w:r>
        <w:t>Bundesgericht (BGE), 2004-06-18, FR</w:t>
      </w:r>
    </w:p>
    <w:p>
      <w:r>
        <w:rPr>
          <w:b/>
        </w:rPr>
        <w:t xml:space="preserve">Quelle: </w:t>
      </w:r>
      <w:r>
        <w:t>https://mcp.opencaselaw.ch/entscheid/bge_130 IV 72</w:t>
      </w:r>
    </w:p>
    <w:p>
      <w:r>
        <w:t>FR: ATF 130 IV 72</w:t>
      </w:r>
    </w:p>
    <w:p>
      <w:r>
        <w:t>IT: DTF 130 IV 72</w:t>
      </w:r>
    </w:p>
    <w:p>
      <w:pPr>
        <w:pStyle w:val="Heading2"/>
      </w:pPr>
      <w:r>
        <w:t>Regeste</w:t>
      </w:r>
    </w:p>
    <w:p>
      <w:r>
        <w:t>Regeste Art. 29 BV, Art. 397 StGB; Revision, Strafbefehl. In Anbetracht der prozessualen Besonderheiten des Strafbefehls ist ein dagegen gerichtetes Revisionsgesuch als rechtsmissbräuchlich zu qualifizieren, wenn es sich auf Tatsachen stützt, welche der Verurteilte von Anfang an kannte, ohne berechtigten Grund verschwieg und in einem ordentlichen Einspracheverfahren hätte vorbringen können (E. 2).</w:t>
      </w:r>
    </w:p>
    <w:p>
      <w:pPr>
        <w:pStyle w:val="Heading2"/>
      </w:pPr>
      <w:r>
        <w:t>Erwägungen</w:t>
      </w:r>
    </w:p>
    <w:p>
      <w:r>
        <w:rPr>
          <w:b/>
        </w:rPr>
        <w:t>E. 1</w:t>
      </w:r>
    </w:p>
    <w:p>
      <w:r>
        <w:t>Aux termes de l' art. 397 CP , les cantons sont tenus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Des faits ou moyens de preuve sont nouveaux au sens de l' art. 397 CP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Savoir si l'autorité cantonale s'est fondée sur une juste conception de faits ou de moyens de preuve nouveaux et sérieux au sens de l' art. 397 CP est une question de droit, qui doit être invoquée dans un pourvoi en nullité. En revanche, savoir si un fait ou un moyen de preuve était effectivement inconnu du juge est une question de fait, qui ne peut être revue dans un pourvoi en nullité, mais qui est susceptible d'un recours de droit public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qui peut faire l'objet d'un pourvoi en nullité, de savoir si la modification de l'état de fait est juridiquement pertinente, c'est-à-dire de nature, en fonction des règles de droit de fond applicables, à entraîner une décision plus favorable au condamné en ce qui concerne la culpabilité, la peine ou les mesures ( ATF 125 IV 298 consid. 2b p. 301/302; ATF 122 IV 66 consid. 2a p. 67/68 et les arrêts cités).</w:t>
      </w:r>
    </w:p>
    <w:p>
      <w:r>
        <w:rPr>
          <w:b/>
        </w:rPr>
        <w:t>E. 2.1</w:t>
      </w:r>
    </w:p>
    <w:p>
      <w:r>
        <w:t>La demande de révision du recourant est dirigée contre une ordonnance de condamnation en force, rendue en vertu d'une norme pénale fédérale. Une telle décision constitue un jugement au sens de l' art. 397 CP ( ATF 100 IV 248 consid. 2b p. 250/251). BGE 130 IV 72 S. 74</w:t>
      </w:r>
    </w:p>
    <w:p>
      <w:r>
        <w:rPr>
          <w:b/>
        </w:rPr>
        <w:t>E. 2.2</w:t>
      </w:r>
    </w:p>
    <w:p>
      <w:r>
        <w:t>Quelle que soit la procédure en cause, la jurisprudence a déduit de l' art. 29 al. 1 Cst. le droit de demander la modification d'un jugement par le moyen extraordinaire de la révision pour des faits et moyens de preuve pertinents qui n'étaient pas connus du requérant dans la procédure précédente ou qu'il ne pouvait ou n'avait aucune raison de faire valoir à l'époque pour des motifs juridiques ou de fait ( ATF 127 I 133 consid. 6 p. 137/138). La révision instituée par l' art. 397 CP est plus large que celle découlant de l' art. 29 al. 1 Cst. dans la mesure où elle n'exige en principe pas que le fait allégué, qui constitue le fait nouveau pour le juge, ait également été ignoré du requérant au moment de la première procédure ( ATF 116 IV 353 consid. 3a p. 357; 69 IV 134 consid. 4 p. 138). Cette solution résulte en particulier du fait qu'en procédure pénale, il incombe à l'accusation de prouver la culpabilité de l'accusé. Ce n'est par conséquent qu'avec retenue qu'un abus de droit peut être envisagé et opposé à celui qui se prévaut de l' art. 397 CP et sollicite une révision sur la base d'un fait qu'il connaissait déjà, mais qu'il n'a pas soumis au juge de la première procédure (dans le même sens, arrêt 6S.61/2002 du 16 mai 2003, consid. 3.3). Il est néanmoins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127 I 133 consid. 6 in fine p. 138; ATF 125 IV 298 consid. 2b in fine p. 302; cf. aussi NIKLAUS SCHMID, Strafprozessrecht, Zurich 2004, 4 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 ATF 125 IV 79 consid. 1b p. 81).</w:t>
      </w:r>
    </w:p>
    <w:p>
      <w:r>
        <w:rPr>
          <w:b/>
        </w:rPr>
        <w:t>E. 2.3</w:t>
      </w:r>
    </w:p>
    <w:p>
      <w:r>
        <w:t>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GÉRARD PIQUEREZ, Procédure pénale suisse, Zurich 2000, n. 3156 ss). Ces BGE 130 IV 72 S. 75 caractéristiques valent en procédure pénale vaudoise. L'accusé a en particulier la possibilité de ne pas se soumettre à une ordonnance de condamnation en formant dans un délai de dix jours dès sa réception une opposition par simple déclaration écrite (cf. art. 267 du Code de procédure pénale vaudois). 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(cf. PIQUEREZ, op. cit., n. 3155 et 3165; SCHMID, op. cit., n. 909 ss).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 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Par conséquent,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BGE 130 IV 72 S. 76 ou n'avait pas de raisons de se prévaloir à cette époque (cf. supra, consid. 2.2). Comme exemple d'un fait nouveau, on peut mentionner en matière de circulation routière le cas d'un conducteur condamné pour perte de maîtrise de son véhicule, qui apprendrait après le délai d'opposition que la chaussée comportait une malfaçon qui a engendré d'autres accidents similaires, ce qu'ignorait également le juge (cf. FRANÇOIS CLERC, Remarques sur l'ordonnance pénale, in RPS 94/1977 p. 414 ss, spéc. 426).</w:t>
      </w:r>
    </w:p>
    <w:p>
      <w:r>
        <w:rPr>
          <w:b/>
        </w:rPr>
        <w:t>E. 2.4</w:t>
      </w:r>
    </w:p>
    <w:p>
      <w:r>
        <w:t>En l'espèce, entendu par le juge d'instruction le 29 août 2003, le recourant a pris acte de son inculpation pour ivresse au volant et a accepté le principe d'une ordonnance de condamnation. Il n'a pas formé opposition à l'ordonnance qui lui a ultérieurement été notifiée. Celle-ci en énonçait expressément la possibilité. Il ressort de la demande de révision déposée en instance cantonale, à laquelle se réfère l'arrêt attaqué, que le Service pénitentiaire vaudois a écrit au recourant le 17 décembre 2003 pour que celui-ci lui soumette une proposition d'ici la fin février 2004 en vue de l'exécution de la peine de quarante-cinq jours d'emprisonnement infligée par l'ordonnance de condamnation, désormais exécutoire; que l'avocat du recourant a répondu dans le délai imparti qu'il déposerait une demande de révision d'ici la mi-mars 2004, ce qu'il a fait le 10 mars, et qu'il sollicitait par conséquent la suspension de l'exécution de la peine. D'un point de vue factuel, l'ordonnance de condamnation constate que le recourant a circulé en voiture le 29 août 2003 avec une alcoolémie de 2,46 g o/oo. Le recourant fonde en substance sa requête de révision sur le fait qu'il avait convenu avec ses collègues de ne plus conduire le soir en question, mais que le collègue qui devait le ramener a quitté le restaurant de manière inexpliquée. Au moment de recevoir l'ordonnance de condamnation, le recourant connaissait forcément les faits qu'il avance à l'appui de sa demande de révision. Il pouvait tout aussi bien saisir leur éventuelle incidence sur sa culpabilité. Pour valablement pouvoir les invoquer, il devait par conséquent former opposition et entreprendre une procédure ordinaire. Il n'en a rien fait. Il n'a pas non plus fourni un quelconque motif à son abstention à l'époque et on n'en perçoit aucun. Dans ces conditions, sa demande de révision apparaît comme un moyen de contourner la voie de droit ordinaire. Elle doit être qualifiée d'abusive. Pour ce motif déjà, il n'y avait pas lieu d'y donner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